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D6" w:rsidRDefault="00805E3D">
      <w:pPr>
        <w:pStyle w:val="BodyText"/>
        <w:ind w:left="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CN"/>
        </w:rPr>
        <w:drawing>
          <wp:inline distT="0" distB="0" distL="0" distR="0">
            <wp:extent cx="1526641" cy="4937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6641" cy="49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FD6" w:rsidRDefault="00805E3D">
      <w:pPr>
        <w:spacing w:before="162"/>
        <w:ind w:left="211" w:right="8088"/>
        <w:rPr>
          <w:sz w:val="16"/>
        </w:rPr>
      </w:pPr>
      <w:r>
        <w:rPr>
          <w:color w:val="747474"/>
          <w:sz w:val="16"/>
        </w:rPr>
        <w:t>8755 W. Higgins Road Suite 500</w:t>
      </w:r>
    </w:p>
    <w:p w:rsidR="00941FD6" w:rsidRDefault="00805E3D">
      <w:pPr>
        <w:spacing w:line="182" w:lineRule="exact"/>
        <w:ind w:left="211"/>
        <w:rPr>
          <w:sz w:val="16"/>
        </w:rPr>
      </w:pPr>
      <w:r>
        <w:rPr>
          <w:color w:val="747474"/>
          <w:sz w:val="16"/>
        </w:rPr>
        <w:t>Chicago, IL 60631</w:t>
      </w:r>
    </w:p>
    <w:p w:rsidR="00941FD6" w:rsidRDefault="004919C0">
      <w:pPr>
        <w:spacing w:before="97"/>
        <w:ind w:left="211"/>
        <w:rPr>
          <w:b/>
          <w:sz w:val="18"/>
        </w:rPr>
      </w:pPr>
      <w:hyperlink r:id="rId5">
        <w:r w:rsidR="00805E3D">
          <w:rPr>
            <w:b/>
            <w:color w:val="747474"/>
            <w:sz w:val="18"/>
          </w:rPr>
          <w:t>www.littelfuse.com</w:t>
        </w:r>
      </w:hyperlink>
    </w:p>
    <w:p w:rsidR="00941FD6" w:rsidRDefault="00663BE2">
      <w:pPr>
        <w:pStyle w:val="BodyText"/>
        <w:spacing w:before="6"/>
        <w:ind w:left="0"/>
        <w:rPr>
          <w:b/>
          <w:sz w:val="14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794385</wp:posOffset>
                </wp:positionH>
                <wp:positionV relativeFrom="paragraph">
                  <wp:posOffset>135255</wp:posOffset>
                </wp:positionV>
                <wp:extent cx="6115050" cy="0"/>
                <wp:effectExtent l="13335" t="6985" r="5715" b="1206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714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51F5C4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55pt,10.65pt" to="544.0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" strokecolor="#007144">
                <w10:wrap type="topAndBottom" anchorx="page"/>
              </v:line>
            </w:pict>
          </mc:Fallback>
        </mc:AlternateContent>
      </w:r>
    </w:p>
    <w:p w:rsidR="00941FD6" w:rsidRDefault="00941FD6">
      <w:pPr>
        <w:pStyle w:val="BodyText"/>
        <w:ind w:left="0"/>
        <w:rPr>
          <w:b/>
          <w:sz w:val="16"/>
        </w:rPr>
      </w:pPr>
    </w:p>
    <w:p w:rsidR="00652691" w:rsidRDefault="00652691" w:rsidP="00805E3D">
      <w:pPr>
        <w:pStyle w:val="BodyText"/>
        <w:spacing w:before="2"/>
        <w:jc w:val="center"/>
        <w:rPr>
          <w:b/>
          <w:sz w:val="24"/>
          <w:szCs w:val="24"/>
        </w:rPr>
      </w:pPr>
    </w:p>
    <w:p w:rsidR="00941FD6" w:rsidRPr="00663BE2" w:rsidRDefault="00805E3D" w:rsidP="00805E3D">
      <w:pPr>
        <w:pStyle w:val="BodyText"/>
        <w:spacing w:before="2"/>
        <w:jc w:val="center"/>
        <w:rPr>
          <w:b/>
          <w:sz w:val="24"/>
          <w:szCs w:val="24"/>
          <w:u w:val="single"/>
        </w:rPr>
      </w:pPr>
      <w:r w:rsidRPr="00663BE2">
        <w:rPr>
          <w:b/>
          <w:sz w:val="24"/>
          <w:szCs w:val="24"/>
          <w:u w:val="single"/>
        </w:rPr>
        <w:t xml:space="preserve">Comparison of Existing </w:t>
      </w:r>
      <w:r w:rsidR="00663BE2" w:rsidRPr="00663BE2">
        <w:rPr>
          <w:b/>
          <w:sz w:val="24"/>
          <w:szCs w:val="24"/>
          <w:u w:val="single"/>
        </w:rPr>
        <w:t xml:space="preserve">438 series </w:t>
      </w:r>
      <w:r w:rsidR="00663BE2">
        <w:rPr>
          <w:b/>
          <w:sz w:val="24"/>
          <w:szCs w:val="24"/>
          <w:u w:val="single"/>
        </w:rPr>
        <w:t>and Latest</w:t>
      </w:r>
      <w:r w:rsidRPr="00663BE2">
        <w:rPr>
          <w:b/>
          <w:sz w:val="24"/>
          <w:szCs w:val="24"/>
          <w:u w:val="single"/>
        </w:rPr>
        <w:t xml:space="preserve"> 438</w:t>
      </w:r>
      <w:r w:rsidR="00663BE2" w:rsidRPr="00663BE2">
        <w:rPr>
          <w:b/>
          <w:sz w:val="24"/>
          <w:szCs w:val="24"/>
          <w:u w:val="single"/>
        </w:rPr>
        <w:t>GT</w:t>
      </w:r>
      <w:r w:rsidRPr="00663BE2">
        <w:rPr>
          <w:b/>
          <w:sz w:val="24"/>
          <w:szCs w:val="24"/>
          <w:u w:val="single"/>
        </w:rPr>
        <w:t xml:space="preserve"> Series</w:t>
      </w:r>
    </w:p>
    <w:p w:rsidR="00805E3D" w:rsidRDefault="00805E3D">
      <w:pPr>
        <w:pStyle w:val="BodyText"/>
      </w:pPr>
    </w:p>
    <w:p w:rsidR="00652691" w:rsidRDefault="00652691">
      <w:pPr>
        <w:pStyle w:val="BodyText"/>
      </w:pPr>
    </w:p>
    <w:p w:rsidR="00652691" w:rsidRDefault="00652691">
      <w:pPr>
        <w:pStyle w:val="BodyText"/>
      </w:pPr>
    </w:p>
    <w:p w:rsidR="00941FD6" w:rsidRPr="00805E3D" w:rsidRDefault="00805E3D" w:rsidP="00805E3D">
      <w:pPr>
        <w:pStyle w:val="BodyText"/>
        <w:ind w:right="20"/>
        <w:rPr>
          <w:b/>
        </w:rPr>
      </w:pPr>
      <w:r w:rsidRPr="00805E3D">
        <w:rPr>
          <w:b/>
        </w:rPr>
        <w:t>Electrical Characteristic Summary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323"/>
        <w:gridCol w:w="1350"/>
        <w:gridCol w:w="1303"/>
        <w:gridCol w:w="1530"/>
        <w:gridCol w:w="1440"/>
        <w:gridCol w:w="1565"/>
      </w:tblGrid>
      <w:tr w:rsidR="00805E3D" w:rsidRPr="00A66CA0" w:rsidTr="00663BE2">
        <w:trPr>
          <w:trHeight w:val="276"/>
          <w:jc w:val="center"/>
        </w:trPr>
        <w:tc>
          <w:tcPr>
            <w:tcW w:w="1323" w:type="dxa"/>
            <w:vMerge w:val="restart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Series</w:t>
            </w:r>
          </w:p>
        </w:tc>
        <w:tc>
          <w:tcPr>
            <w:tcW w:w="1350" w:type="dxa"/>
            <w:vMerge w:val="restart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Rating (A)</w:t>
            </w:r>
          </w:p>
        </w:tc>
        <w:tc>
          <w:tcPr>
            <w:tcW w:w="2833" w:type="dxa"/>
            <w:gridSpan w:val="2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Resistance (m</w:t>
            </w:r>
            <w:r w:rsidRPr="00805E3D">
              <w:rPr>
                <w:b/>
                <w:bCs/>
                <w:sz w:val="16"/>
                <w:szCs w:val="16"/>
                <w:lang w:val="el-GR"/>
              </w:rPr>
              <w:t>Ω</w:t>
            </w:r>
            <w:r w:rsidRPr="00805E3D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05" w:type="dxa"/>
            <w:gridSpan w:val="2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I</w:t>
            </w:r>
            <w:r w:rsidRPr="00805E3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05E3D">
              <w:rPr>
                <w:b/>
                <w:bCs/>
                <w:sz w:val="16"/>
                <w:szCs w:val="16"/>
              </w:rPr>
              <w:t>t (Asec</w:t>
            </w:r>
            <w:r w:rsidRPr="00805E3D">
              <w:rPr>
                <w:b/>
                <w:bCs/>
                <w:sz w:val="16"/>
                <w:szCs w:val="16"/>
                <w:vertAlign w:val="superscript"/>
              </w:rPr>
              <w:t>2</w:t>
            </w:r>
            <w:r w:rsidRPr="00805E3D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03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Existing 438 series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Latest 438GT series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Existing 438 series</w:t>
            </w:r>
          </w:p>
        </w:tc>
        <w:tc>
          <w:tcPr>
            <w:tcW w:w="1565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Latest 438GT series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 w:val="restart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438</w:t>
            </w:r>
          </w:p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External Glass</w:t>
            </w: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2A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51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0.149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0.181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2.5A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35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0.197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0.240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3A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0.292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0.439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3.5A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0.475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0.647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4A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17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0.692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652691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</w:t>
            </w:r>
            <w:r w:rsidR="00B33FD8" w:rsidRPr="00663BE2">
              <w:rPr>
                <w:color w:val="00B050"/>
                <w:sz w:val="16"/>
                <w:szCs w:val="16"/>
              </w:rPr>
              <w:t>730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5A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0.739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0.747</w:t>
            </w:r>
          </w:p>
        </w:tc>
      </w:tr>
      <w:tr w:rsidR="00805E3D" w:rsidRPr="00A66CA0" w:rsidTr="00663BE2">
        <w:trPr>
          <w:trHeight w:val="276"/>
          <w:jc w:val="center"/>
        </w:trPr>
        <w:tc>
          <w:tcPr>
            <w:tcW w:w="1323" w:type="dxa"/>
            <w:vMerge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</w:p>
        </w:tc>
        <w:tc>
          <w:tcPr>
            <w:tcW w:w="135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b/>
                <w:bCs/>
                <w:sz w:val="16"/>
                <w:szCs w:val="16"/>
              </w:rPr>
              <w:t>6A</w:t>
            </w:r>
          </w:p>
        </w:tc>
        <w:tc>
          <w:tcPr>
            <w:tcW w:w="1303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30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4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sz w:val="16"/>
                <w:szCs w:val="16"/>
              </w:rPr>
            </w:pPr>
            <w:r w:rsidRPr="00805E3D">
              <w:rPr>
                <w:sz w:val="16"/>
                <w:szCs w:val="16"/>
              </w:rPr>
              <w:t>1.383</w:t>
            </w:r>
          </w:p>
        </w:tc>
        <w:tc>
          <w:tcPr>
            <w:tcW w:w="1565" w:type="dxa"/>
            <w:vAlign w:val="center"/>
            <w:hideMark/>
          </w:tcPr>
          <w:p w:rsidR="00805E3D" w:rsidRPr="00663BE2" w:rsidRDefault="00805E3D" w:rsidP="009D020A">
            <w:pPr>
              <w:keepNext/>
              <w:spacing w:after="60"/>
              <w:jc w:val="center"/>
              <w:outlineLvl w:val="2"/>
              <w:rPr>
                <w:color w:val="00B050"/>
                <w:sz w:val="16"/>
                <w:szCs w:val="16"/>
              </w:rPr>
            </w:pPr>
            <w:r w:rsidRPr="00663BE2">
              <w:rPr>
                <w:color w:val="00B050"/>
                <w:sz w:val="16"/>
                <w:szCs w:val="16"/>
              </w:rPr>
              <w:t>1.444</w:t>
            </w:r>
          </w:p>
        </w:tc>
      </w:tr>
    </w:tbl>
    <w:p w:rsidR="00805E3D" w:rsidRDefault="00805E3D" w:rsidP="00805E3D">
      <w:pPr>
        <w:pStyle w:val="BodyText"/>
        <w:ind w:right="20"/>
      </w:pPr>
    </w:p>
    <w:p w:rsidR="00652691" w:rsidRDefault="00663BE2" w:rsidP="00805E3D">
      <w:pPr>
        <w:pStyle w:val="BodyText"/>
        <w:ind w:right="20"/>
      </w:pPr>
      <w:r>
        <w:t>The 438GT series has a higher i2t relative to the existing 438 series.</w:t>
      </w:r>
    </w:p>
    <w:p w:rsidR="00652691" w:rsidRDefault="00652691" w:rsidP="00805E3D">
      <w:pPr>
        <w:pStyle w:val="BodyText"/>
        <w:ind w:right="20"/>
      </w:pPr>
    </w:p>
    <w:p w:rsidR="00652691" w:rsidRDefault="00652691" w:rsidP="00805E3D">
      <w:pPr>
        <w:pStyle w:val="BodyText"/>
        <w:ind w:right="20"/>
      </w:pPr>
    </w:p>
    <w:p w:rsidR="00805E3D" w:rsidRDefault="00805E3D" w:rsidP="00805E3D">
      <w:pPr>
        <w:pStyle w:val="BodyText"/>
        <w:ind w:right="20"/>
        <w:rPr>
          <w:b/>
        </w:rPr>
      </w:pPr>
      <w:r w:rsidRPr="00663BE2">
        <w:rPr>
          <w:b/>
        </w:rPr>
        <w:t>Part Identification</w:t>
      </w:r>
      <w:r w:rsidR="004919C0">
        <w:rPr>
          <w:b/>
        </w:rPr>
        <w:t xml:space="preserve"> – Example</w:t>
      </w:r>
    </w:p>
    <w:p w:rsidR="004919C0" w:rsidRPr="00663BE2" w:rsidRDefault="004919C0" w:rsidP="00805E3D">
      <w:pPr>
        <w:pStyle w:val="BodyText"/>
        <w:ind w:right="20"/>
        <w:rPr>
          <w:b/>
        </w:rPr>
      </w:pPr>
      <w:bookmarkStart w:id="0" w:name="_GoBack"/>
      <w:bookmarkEnd w:id="0"/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767"/>
        <w:gridCol w:w="3060"/>
        <w:gridCol w:w="3407"/>
      </w:tblGrid>
      <w:tr w:rsidR="00805E3D" w:rsidRPr="00A66CA0" w:rsidTr="00805E3D">
        <w:trPr>
          <w:trHeight w:val="323"/>
          <w:jc w:val="center"/>
        </w:trPr>
        <w:tc>
          <w:tcPr>
            <w:tcW w:w="1767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b/>
              </w:rPr>
            </w:pPr>
            <w:r w:rsidRPr="00805E3D">
              <w:rPr>
                <w:b/>
              </w:rPr>
              <w:t>Part Number</w:t>
            </w:r>
          </w:p>
        </w:tc>
        <w:tc>
          <w:tcPr>
            <w:tcW w:w="3060" w:type="dxa"/>
            <w:vAlign w:val="center"/>
            <w:hideMark/>
          </w:tcPr>
          <w:p w:rsidR="00805E3D" w:rsidRPr="00805E3D" w:rsidRDefault="00805E3D" w:rsidP="009D020A">
            <w:pPr>
              <w:keepNext/>
              <w:spacing w:after="60"/>
              <w:jc w:val="center"/>
              <w:outlineLvl w:val="2"/>
              <w:rPr>
                <w:b/>
              </w:rPr>
            </w:pPr>
            <w:r w:rsidRPr="00805E3D">
              <w:rPr>
                <w:b/>
                <w:bCs/>
              </w:rPr>
              <w:t xml:space="preserve">Existing </w:t>
            </w:r>
            <w:r w:rsidR="00663BE2">
              <w:rPr>
                <w:b/>
                <w:bCs/>
              </w:rPr>
              <w:t>438 series</w:t>
            </w:r>
          </w:p>
        </w:tc>
        <w:tc>
          <w:tcPr>
            <w:tcW w:w="3407" w:type="dxa"/>
            <w:vAlign w:val="center"/>
            <w:hideMark/>
          </w:tcPr>
          <w:p w:rsidR="00805E3D" w:rsidRPr="00805E3D" w:rsidRDefault="00663BE2" w:rsidP="009D020A">
            <w:pPr>
              <w:keepNext/>
              <w:spacing w:after="60"/>
              <w:jc w:val="center"/>
              <w:outlineLvl w:val="2"/>
              <w:rPr>
                <w:b/>
              </w:rPr>
            </w:pPr>
            <w:r>
              <w:rPr>
                <w:b/>
                <w:bCs/>
              </w:rPr>
              <w:t>Latest 438GT series</w:t>
            </w:r>
          </w:p>
        </w:tc>
      </w:tr>
      <w:tr w:rsidR="00805E3D" w:rsidRPr="00A66CA0" w:rsidTr="00652691">
        <w:trPr>
          <w:trHeight w:val="2483"/>
          <w:jc w:val="center"/>
        </w:trPr>
        <w:tc>
          <w:tcPr>
            <w:tcW w:w="1767" w:type="dxa"/>
            <w:vAlign w:val="center"/>
            <w:hideMark/>
          </w:tcPr>
          <w:p w:rsidR="00805E3D" w:rsidRPr="00A66CA0" w:rsidRDefault="00805E3D" w:rsidP="009D020A">
            <w:pPr>
              <w:keepNext/>
              <w:spacing w:after="60"/>
              <w:jc w:val="center"/>
              <w:outlineLvl w:val="2"/>
            </w:pPr>
            <w:r w:rsidRPr="00A66CA0">
              <w:rPr>
                <w:b/>
                <w:bCs/>
              </w:rPr>
              <w:t>2A</w:t>
            </w:r>
          </w:p>
        </w:tc>
        <w:tc>
          <w:tcPr>
            <w:tcW w:w="3060" w:type="dxa"/>
            <w:vAlign w:val="center"/>
            <w:hideMark/>
          </w:tcPr>
          <w:p w:rsidR="00805E3D" w:rsidRPr="00A66CA0" w:rsidRDefault="00444532" w:rsidP="009D020A">
            <w:pPr>
              <w:keepNext/>
              <w:spacing w:after="60"/>
              <w:jc w:val="center"/>
              <w:outlineLvl w:val="2"/>
            </w:pPr>
            <w:r w:rsidRPr="00AC7BB4">
              <w:rPr>
                <w:sz w:val="22"/>
                <w:szCs w:val="22"/>
              </w:rPr>
              <w:object w:dxaOrig="2328" w:dyaOrig="42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211.8pt" o:ole="">
                  <v:imagedata r:id="rId6" o:title=""/>
                </v:shape>
                <o:OLEObject Type="Embed" ProgID="PBrush" ShapeID="_x0000_i1025" DrawAspect="Content" ObjectID="_1559636827" r:id="rId7"/>
              </w:object>
            </w:r>
          </w:p>
        </w:tc>
        <w:tc>
          <w:tcPr>
            <w:tcW w:w="3407" w:type="dxa"/>
            <w:vAlign w:val="center"/>
            <w:hideMark/>
          </w:tcPr>
          <w:p w:rsidR="00805E3D" w:rsidRPr="00A66CA0" w:rsidRDefault="00444532" w:rsidP="009D020A">
            <w:pPr>
              <w:keepNext/>
              <w:spacing w:after="60"/>
              <w:jc w:val="center"/>
              <w:outlineLvl w:val="2"/>
            </w:pPr>
            <w:r w:rsidRPr="00AC7BB4">
              <w:rPr>
                <w:sz w:val="22"/>
                <w:szCs w:val="22"/>
              </w:rPr>
              <w:object w:dxaOrig="2376" w:dyaOrig="4236">
                <v:shape id="_x0000_i1026" type="#_x0000_t75" style="width:118.8pt;height:211.8pt" o:ole="">
                  <v:imagedata r:id="rId8" o:title=""/>
                </v:shape>
                <o:OLEObject Type="Embed" ProgID="PBrush" ShapeID="_x0000_i1026" DrawAspect="Content" ObjectID="_1559636828" r:id="rId9"/>
              </w:object>
            </w:r>
          </w:p>
        </w:tc>
      </w:tr>
    </w:tbl>
    <w:p w:rsidR="00805E3D" w:rsidRDefault="00805E3D" w:rsidP="00805E3D">
      <w:pPr>
        <w:pStyle w:val="BodyText"/>
        <w:ind w:right="20"/>
      </w:pPr>
    </w:p>
    <w:p w:rsidR="00663BE2" w:rsidRDefault="00663BE2" w:rsidP="00805E3D">
      <w:pPr>
        <w:pStyle w:val="BodyText"/>
        <w:ind w:right="20"/>
      </w:pPr>
      <w:r>
        <w:t>Difference between the 2 series is that the 438GT series has a light shade color relative to the existing 438 series.</w:t>
      </w:r>
    </w:p>
    <w:sectPr w:rsidR="00663BE2" w:rsidSect="00941FD6">
      <w:type w:val="continuous"/>
      <w:pgSz w:w="12240" w:h="15840"/>
      <w:pgMar w:top="1080" w:right="11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D6"/>
    <w:rsid w:val="000A4D21"/>
    <w:rsid w:val="001B304C"/>
    <w:rsid w:val="00444532"/>
    <w:rsid w:val="004919C0"/>
    <w:rsid w:val="0058734E"/>
    <w:rsid w:val="00652691"/>
    <w:rsid w:val="00663BE2"/>
    <w:rsid w:val="00783C37"/>
    <w:rsid w:val="00805E3D"/>
    <w:rsid w:val="008D4D34"/>
    <w:rsid w:val="00941FD6"/>
    <w:rsid w:val="009D3663"/>
    <w:rsid w:val="00A87B77"/>
    <w:rsid w:val="00AC7BB4"/>
    <w:rsid w:val="00B3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BB971"/>
  <w15:docId w15:val="{01C323CF-EC5E-4DB5-B067-2682A5B8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941FD6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941FD6"/>
    <w:pPr>
      <w:ind w:left="211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41FD6"/>
    <w:pPr>
      <w:ind w:left="211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rsid w:val="00941FD6"/>
  </w:style>
  <w:style w:type="paragraph" w:customStyle="1" w:styleId="TableParagraph">
    <w:name w:val="Table Paragraph"/>
    <w:basedOn w:val="Normal"/>
    <w:uiPriority w:val="1"/>
    <w:qFormat/>
    <w:rsid w:val="00941FD6"/>
  </w:style>
  <w:style w:type="paragraph" w:styleId="BalloonText">
    <w:name w:val="Balloon Text"/>
    <w:basedOn w:val="Normal"/>
    <w:link w:val="BalloonTextChar"/>
    <w:uiPriority w:val="99"/>
    <w:semiHidden/>
    <w:unhideWhenUsed/>
    <w:rsid w:val="00805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E3D"/>
    <w:rPr>
      <w:rFonts w:ascii="Tahoma" w:eastAsia="Arial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05E3D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05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littelfuse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¬</vt:lpstr>
    </vt:vector>
  </TitlesOfParts>
  <Company>Littelfuse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Eva Jelezova</dc:creator>
  <cp:lastModifiedBy>Daniel Wang</cp:lastModifiedBy>
  <cp:revision>2</cp:revision>
  <dcterms:created xsi:type="dcterms:W3CDTF">2017-06-22T03:41:00Z</dcterms:created>
  <dcterms:modified xsi:type="dcterms:W3CDTF">2017-06-22T03:41:00Z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2017-02-13T00:00:00Z</vt:filetime>
  </property>
</Properties>
</file>